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DECAF" w14:textId="7CA40B62" w:rsidR="00293FBE" w:rsidRDefault="00293FBE" w:rsidP="00162DEB">
      <w:pPr>
        <w:pStyle w:val="Sinespaciado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12E76BF8" w:rsidR="005053AB" w:rsidRPr="00862CFC" w:rsidRDefault="00BE51A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agosto-diciembre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45A0219F" w:rsidR="005053AB" w:rsidRPr="00862CFC" w:rsidRDefault="00A2492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INVESTIGACIÓN DE OPERACIONES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4154E028" w:rsidR="005053AB" w:rsidRPr="00862CFC" w:rsidRDefault="00A2492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24921">
              <w:rPr>
                <w:rFonts w:ascii="Arial" w:hAnsi="Arial" w:cs="Arial"/>
                <w:sz w:val="20"/>
                <w:szCs w:val="20"/>
              </w:rPr>
              <w:t>SCC-1013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DBA604D" w:rsidR="005053AB" w:rsidRPr="00862CFC" w:rsidRDefault="00A2492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24921">
              <w:rPr>
                <w:rFonts w:ascii="Arial" w:hAnsi="Arial" w:cs="Arial"/>
                <w:sz w:val="20"/>
                <w:szCs w:val="20"/>
              </w:rPr>
              <w:t>2-2-4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2E2859DA" w14:textId="77777777" w:rsidR="00A24921" w:rsidRDefault="00A24921" w:rsidP="00A24921">
            <w:pPr>
              <w:pStyle w:val="Sinespaciado"/>
              <w:ind w:left="360"/>
              <w:jc w:val="both"/>
            </w:pPr>
            <w:r>
              <w:t xml:space="preserve">Esta asignatura aporta al perfil del Ingeniero en Sistemas Computacionales la capacidad para aplicar técnicas y modelos de investigación de operaciones en la solución de problemas, utilizando o desarrollando herramientas de software para la toma de decisiones. </w:t>
            </w:r>
          </w:p>
          <w:p w14:paraId="261AF219" w14:textId="77777777" w:rsidR="00A24921" w:rsidRDefault="00A24921" w:rsidP="00A24921">
            <w:pPr>
              <w:pStyle w:val="Sinespaciado"/>
              <w:ind w:left="360"/>
              <w:jc w:val="both"/>
            </w:pPr>
          </w:p>
          <w:p w14:paraId="3FA5C270" w14:textId="77777777" w:rsidR="00A24921" w:rsidRDefault="00A24921" w:rsidP="00A24921">
            <w:pPr>
              <w:pStyle w:val="Sinespaciado"/>
              <w:ind w:left="360"/>
              <w:jc w:val="both"/>
            </w:pPr>
            <w:r>
              <w:t xml:space="preserve">Para ello el estudiante de Ingeniería en Sistemas Computacionales, recopila, clasifica y ordena la información del sistema a modelar para analizarlo mediante los modelos adecuados al sistema en estudio, y así obtener la mejor solución o la óptima. </w:t>
            </w:r>
          </w:p>
          <w:p w14:paraId="7466E0A8" w14:textId="77777777" w:rsidR="00A24921" w:rsidRDefault="00A24921" w:rsidP="00A24921">
            <w:pPr>
              <w:pStyle w:val="Sinespaciado"/>
              <w:ind w:left="360"/>
              <w:jc w:val="both"/>
            </w:pPr>
          </w:p>
          <w:p w14:paraId="1AD38807" w14:textId="77777777" w:rsidR="00A24921" w:rsidRDefault="00A24921" w:rsidP="00A24921">
            <w:pPr>
              <w:pStyle w:val="Sinespaciado"/>
              <w:ind w:left="360"/>
              <w:jc w:val="both"/>
            </w:pPr>
            <w:r>
              <w:t xml:space="preserve">Su integración se ha hecho en base a un análisis de la administración de las operaciones, identificando los temas de programación, optimización y modelos heurísticos que tienen una mayor aplicación en el quehacer profesional y la toma de decisiones. </w:t>
            </w:r>
          </w:p>
          <w:p w14:paraId="314B887A" w14:textId="77777777" w:rsidR="00A24921" w:rsidRDefault="00A24921" w:rsidP="00A24921">
            <w:pPr>
              <w:pStyle w:val="Sinespaciado"/>
              <w:ind w:left="360"/>
              <w:jc w:val="both"/>
            </w:pPr>
          </w:p>
          <w:p w14:paraId="7FF9A88B" w14:textId="77777777" w:rsidR="00A24921" w:rsidRDefault="00A24921" w:rsidP="00A24921">
            <w:pPr>
              <w:pStyle w:val="Sinespaciado"/>
              <w:ind w:left="360"/>
              <w:jc w:val="both"/>
            </w:pPr>
            <w:r>
              <w:t xml:space="preserve">Puesto que esta materia dará soporte a otras, más directamente vinculadas con desempeños profesionales; se inserta en la primera mitad de la trayectoria escolar; antes de cursar aquéllas a las que da soporte. </w:t>
            </w:r>
          </w:p>
          <w:p w14:paraId="1F0DBB54" w14:textId="77777777" w:rsidR="00A24921" w:rsidRDefault="00A24921" w:rsidP="00A24921">
            <w:pPr>
              <w:pStyle w:val="Sinespaciado"/>
              <w:ind w:left="360"/>
              <w:jc w:val="both"/>
            </w:pPr>
          </w:p>
          <w:p w14:paraId="57DD9DF3" w14:textId="27C3D6A2" w:rsidR="005053AB" w:rsidRPr="00A24921" w:rsidRDefault="00A24921" w:rsidP="00A24921">
            <w:pPr>
              <w:pStyle w:val="Sinespaciado"/>
              <w:ind w:left="360"/>
              <w:jc w:val="both"/>
            </w:pPr>
            <w:r>
              <w:t>De manera particular, lo trabajado en esta asignatura se aplica en el modelado de sistemas y en la simulación, que auxilia en la toma de decisiones.</w:t>
            </w:r>
          </w:p>
        </w:tc>
      </w:tr>
    </w:tbl>
    <w:p w14:paraId="5E0B9607" w14:textId="77777777" w:rsidR="005053AB" w:rsidRPr="00862CFC" w:rsidRDefault="005053AB" w:rsidP="005223A7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5245AF1D" w14:textId="67B41E43" w:rsidR="00A24921" w:rsidRDefault="00A24921" w:rsidP="005223A7">
            <w:pPr>
              <w:pStyle w:val="Sinespaciado"/>
              <w:ind w:left="360"/>
              <w:jc w:val="both"/>
            </w:pPr>
            <w:r>
              <w:t>El propósito de la materia es plantear los contenidos desde un punto de vista conceptual, comprenderlos e identificarlos en el entorno cotidiano o el de desempeño profesional</w:t>
            </w:r>
            <w:r>
              <w:t xml:space="preserve">. </w:t>
            </w:r>
            <w:r>
              <w:t xml:space="preserve"> Se organiza el temario, en cinco temas, agrupando los contenidos conceptuales de la asignatura en cada unidad incluyendo los contenidos necesarios para la aplicación de los conceptos tratados en estas.</w:t>
            </w:r>
          </w:p>
          <w:p w14:paraId="03F9E84E" w14:textId="77777777" w:rsidR="00A24921" w:rsidRDefault="00A24921" w:rsidP="005223A7">
            <w:pPr>
              <w:pStyle w:val="Sinespaciado"/>
              <w:ind w:left="360"/>
              <w:jc w:val="both"/>
            </w:pPr>
          </w:p>
          <w:p w14:paraId="196991B9" w14:textId="77777777" w:rsidR="00A24921" w:rsidRDefault="00A24921" w:rsidP="005223A7">
            <w:pPr>
              <w:pStyle w:val="Sinespaciado"/>
              <w:ind w:left="360"/>
              <w:jc w:val="both"/>
            </w:pPr>
          </w:p>
          <w:p w14:paraId="4EC833FE" w14:textId="020812DF" w:rsidR="00A24921" w:rsidRDefault="00A24921" w:rsidP="005223A7">
            <w:pPr>
              <w:pStyle w:val="Sinespaciado"/>
              <w:ind w:left="360"/>
              <w:jc w:val="both"/>
            </w:pPr>
            <w:r>
              <w:lastRenderedPageBreak/>
              <w:t xml:space="preserve">El enfoque sugerido para la materia requiere que las actividades prácticas promuevan el desarrollo de habilidades para la experimentación, tales como: identificación, manejo y control de variables y datos relevantes; planteamiento de hipótesis; trabajo en equipo; asimismo, propicien procesos intelectuales como inducción-deducción y análisis-síntesis con la intención de generar una actividad intelectual compleja; esto permite la integración del alumno con el conocimiento durante el curso. </w:t>
            </w:r>
          </w:p>
          <w:p w14:paraId="0AC8A305" w14:textId="77777777" w:rsidR="00A24921" w:rsidRDefault="00A24921" w:rsidP="005223A7">
            <w:pPr>
              <w:pStyle w:val="Sinespaciado"/>
              <w:ind w:left="360"/>
              <w:jc w:val="both"/>
            </w:pPr>
          </w:p>
          <w:p w14:paraId="1D42478C" w14:textId="0C8504DE" w:rsidR="00A24921" w:rsidRPr="00BE51AA" w:rsidRDefault="00A24921" w:rsidP="005223A7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t>Principalmente se busca partir de experiencias concretas, cotidianas, para que el estudiante se acostumbre a reconocer los modelos de decisión y no sólo se hable de ellos en el aula. En el transcurso de las actividades programadas es muy importante que el estudiante aprenda a valorar las actividades que lleva a cabo y entienda que está construyendo su hacer futuro y en consecuencia actúe de una manera profesional; de igual manera, aprecie la importancia del conocimiento y los hábitos de trabajo; desarrolle la precisión y la curiosidad, la puntualidad, el entusiasmo y el interés, la tenacidad, la flexibilidad y la autonomía</w:t>
            </w:r>
            <w:r>
              <w:t>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5BDF5ED8" w:rsidR="005053AB" w:rsidRPr="00BE51AA" w:rsidRDefault="00117045" w:rsidP="00117045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t>Formula soluciones óptimas para generar una mejor alternativa para la toma de decisiones aplicando</w:t>
            </w:r>
            <w:r>
              <w:t xml:space="preserve"> </w:t>
            </w:r>
            <w:r>
              <w:t>conceptos de los modelos matemáticos, técnicas y algoritmos.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BE51AA">
        <w:trPr>
          <w:trHeight w:val="187"/>
        </w:trPr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2873219C" w:rsidR="005053AB" w:rsidRPr="00BE51AA" w:rsidRDefault="008558C8" w:rsidP="005053AB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691413E5" w:rsidR="005053AB" w:rsidRPr="00F45EE6" w:rsidRDefault="008558C8" w:rsidP="0057053B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t>Líneas de Espera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3B104707" w:rsidR="005053AB" w:rsidRPr="00EC1771" w:rsidRDefault="0057053B" w:rsidP="0057053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t xml:space="preserve">Conoce y desarrolla las propiedades de </w:t>
            </w:r>
            <w:r w:rsidR="00397559">
              <w:t xml:space="preserve">los modelos de </w:t>
            </w:r>
            <w:r w:rsidR="008558C8">
              <w:t>líneas de espera</w:t>
            </w:r>
            <w:r>
              <w:t xml:space="preserve"> para resolver problemas de aplicación en las diferentes áreas de ingeniería.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15638F" w:rsidRPr="00862CFC" w14:paraId="5E48DC5F" w14:textId="77777777" w:rsidTr="005053AB">
        <w:tc>
          <w:tcPr>
            <w:tcW w:w="2599" w:type="dxa"/>
          </w:tcPr>
          <w:p w14:paraId="1CC3A37A" w14:textId="77777777" w:rsidR="008558C8" w:rsidRDefault="008558C8" w:rsidP="0015638F">
            <w:pPr>
              <w:pStyle w:val="Sinespaciado"/>
            </w:pPr>
            <w:r>
              <w:t xml:space="preserve">5.1 Definiciones, características y suposiciones </w:t>
            </w:r>
          </w:p>
          <w:p w14:paraId="341E8590" w14:textId="77777777" w:rsidR="008558C8" w:rsidRDefault="008558C8" w:rsidP="0015638F">
            <w:pPr>
              <w:pStyle w:val="Sinespaciado"/>
            </w:pPr>
            <w:r>
              <w:t>5.2 Terminología y notación.</w:t>
            </w:r>
          </w:p>
          <w:p w14:paraId="3FA608A5" w14:textId="77777777" w:rsidR="008558C8" w:rsidRDefault="008558C8" w:rsidP="0015638F">
            <w:pPr>
              <w:pStyle w:val="Sinespaciado"/>
            </w:pPr>
            <w:r>
              <w:t xml:space="preserve"> 5.3 Proceso de nacimiento o muerte.</w:t>
            </w:r>
          </w:p>
          <w:p w14:paraId="116313C5" w14:textId="77777777" w:rsidR="008558C8" w:rsidRDefault="008558C8" w:rsidP="0015638F">
            <w:pPr>
              <w:pStyle w:val="Sinespaciado"/>
            </w:pPr>
            <w:r>
              <w:t xml:space="preserve"> 5.4 Modelos Poisson. 5.4.1 Un servidor. </w:t>
            </w:r>
          </w:p>
          <w:p w14:paraId="6ED640BE" w14:textId="38CB5F3A" w:rsidR="0015638F" w:rsidRPr="00862CFC" w:rsidRDefault="008558C8" w:rsidP="001563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5.4.2 </w:t>
            </w:r>
            <w:r>
              <w:t>Múltiples</w:t>
            </w:r>
            <w:r>
              <w:t xml:space="preserve"> servidores. 5.5 Análisis de costos.</w:t>
            </w:r>
          </w:p>
        </w:tc>
        <w:tc>
          <w:tcPr>
            <w:tcW w:w="2599" w:type="dxa"/>
          </w:tcPr>
          <w:p w14:paraId="28FA609E" w14:textId="77777777" w:rsidR="00EE7388" w:rsidRDefault="00EE7388" w:rsidP="0015638F">
            <w:pPr>
              <w:pStyle w:val="Sinespaciado"/>
            </w:pPr>
            <w:r>
              <w:t xml:space="preserve">Realizar un resumen sobre los tipos de sistemas que utilizan líneas de espera y mostrar en plenaria. Realizar una investigación por grupos de trabajo afín de integrar información del desarrollo de los eventos de acuerdo al proceso de nacimiento y muerte. Realizar un mapa conceptual sobre el </w:t>
            </w:r>
            <w:r>
              <w:lastRenderedPageBreak/>
              <w:t xml:space="preserve">comportamiento de sistemas que tienen una distribución de Poisson, una fila un servidor, una fila múltiples servidores, n filas múltiples servidores. Realizar un informe sobre las características y los supuestos sobre la notación Kendall para clasificar las líneas de espera basadas en los modelos M/M/1, M/M/S y M/G/1 </w:t>
            </w:r>
          </w:p>
          <w:p w14:paraId="29B3C389" w14:textId="08F71F8B" w:rsidR="0015638F" w:rsidRPr="002A3E8A" w:rsidRDefault="00EE7388" w:rsidP="0015638F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t xml:space="preserve"> Utilizar software para resolver problemas de líneas de espera, construyendo programas que modelen los algoritmos vistos.</w:t>
            </w:r>
          </w:p>
        </w:tc>
        <w:tc>
          <w:tcPr>
            <w:tcW w:w="2599" w:type="dxa"/>
          </w:tcPr>
          <w:p w14:paraId="6A095E1E" w14:textId="77777777" w:rsidR="0015638F" w:rsidRDefault="0015638F" w:rsidP="001563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Clase por parte del maestro.</w:t>
            </w:r>
          </w:p>
          <w:p w14:paraId="0A77B793" w14:textId="5989847A" w:rsidR="0015638F" w:rsidRDefault="0015638F" w:rsidP="001563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Ejercicios guiados por parte del alumno.</w:t>
            </w:r>
          </w:p>
          <w:p w14:paraId="23B19B6C" w14:textId="3DE80CF5" w:rsidR="0015638F" w:rsidRPr="00862CFC" w:rsidRDefault="0015638F" w:rsidP="001563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 de casos y practica de campo fomentar el trabajo en equipo.</w:t>
            </w:r>
          </w:p>
        </w:tc>
        <w:tc>
          <w:tcPr>
            <w:tcW w:w="2599" w:type="dxa"/>
          </w:tcPr>
          <w:p w14:paraId="3B81E98E" w14:textId="33EEC334" w:rsidR="0015638F" w:rsidRPr="00862CFC" w:rsidRDefault="00EE7388" w:rsidP="001563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Utiliza los modelos de líneas de espera para identificar, representar y analizar tipos de</w:t>
            </w:r>
            <w:r>
              <w:t xml:space="preserve"> </w:t>
            </w:r>
            <w:r>
              <w:t>modelos de líneas de espera y los costos asociados. Capacidad de abstracción, análisis y síntesis Capacidad de aplicar los conocimientos en la práctica</w:t>
            </w:r>
            <w:bookmarkStart w:id="0" w:name="_GoBack"/>
            <w:bookmarkEnd w:id="0"/>
          </w:p>
        </w:tc>
        <w:tc>
          <w:tcPr>
            <w:tcW w:w="2600" w:type="dxa"/>
          </w:tcPr>
          <w:p w14:paraId="6F275C63" w14:textId="77777777" w:rsidR="0015638F" w:rsidRDefault="0015638F" w:rsidP="001563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541043D1" w14:textId="77777777" w:rsidR="0015638F" w:rsidRDefault="0015638F" w:rsidP="001563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57198BE6" w14:textId="3EAA8969" w:rsidR="0015638F" w:rsidRPr="00862CFC" w:rsidRDefault="00736E2C" w:rsidP="001563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15638F">
              <w:rPr>
                <w:rFonts w:ascii="Arial" w:hAnsi="Arial" w:cs="Arial"/>
                <w:sz w:val="20"/>
                <w:szCs w:val="20"/>
              </w:rPr>
              <w:t xml:space="preserve"> T-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15638F">
              <w:rPr>
                <w:rFonts w:ascii="Arial" w:hAnsi="Arial" w:cs="Arial"/>
                <w:sz w:val="20"/>
                <w:szCs w:val="20"/>
              </w:rPr>
              <w:t>P</w:t>
            </w:r>
          </w:p>
        </w:tc>
      </w:tr>
    </w:tbl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668D3" w:rsidRPr="00862CFC" w14:paraId="73C917D9" w14:textId="77777777" w:rsidTr="005053AB">
        <w:tc>
          <w:tcPr>
            <w:tcW w:w="6498" w:type="dxa"/>
          </w:tcPr>
          <w:p w14:paraId="3C31DC2B" w14:textId="03FD966C" w:rsidR="00397559" w:rsidRPr="00397559" w:rsidRDefault="005668D3" w:rsidP="00CF6CD4">
            <w:pPr>
              <w:pStyle w:val="Default"/>
            </w:pPr>
            <w:r w:rsidRPr="00B25B75">
              <w:t xml:space="preserve">A.- Conoce los conceptos de </w:t>
            </w:r>
            <w:r w:rsidR="00397559">
              <w:t>modelos de inventario</w:t>
            </w:r>
          </w:p>
        </w:tc>
        <w:tc>
          <w:tcPr>
            <w:tcW w:w="6498" w:type="dxa"/>
          </w:tcPr>
          <w:p w14:paraId="1E770817" w14:textId="6B067548" w:rsidR="005668D3" w:rsidRPr="00862CFC" w:rsidRDefault="005668D3" w:rsidP="005668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668D3" w:rsidRPr="00862CFC" w14:paraId="7AE34E6B" w14:textId="77777777" w:rsidTr="005053AB">
        <w:tc>
          <w:tcPr>
            <w:tcW w:w="6498" w:type="dxa"/>
          </w:tcPr>
          <w:p w14:paraId="4457C936" w14:textId="21FB167B" w:rsidR="005668D3" w:rsidRPr="00233468" w:rsidRDefault="005668D3" w:rsidP="00CF6CD4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B.- Realiza </w:t>
            </w:r>
            <w:r w:rsidR="00CF6CD4">
              <w:t>práctica</w:t>
            </w:r>
            <w:r w:rsidRPr="00B25B75">
              <w:t xml:space="preserve"> de </w:t>
            </w:r>
            <w:r w:rsidR="00397559">
              <w:t>los diversos métodos de inventario</w:t>
            </w:r>
          </w:p>
        </w:tc>
        <w:tc>
          <w:tcPr>
            <w:tcW w:w="6498" w:type="dxa"/>
          </w:tcPr>
          <w:p w14:paraId="76CEE991" w14:textId="6C7C7C1D" w:rsidR="005668D3" w:rsidRPr="00862CFC" w:rsidRDefault="005668D3" w:rsidP="005668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5668D3" w:rsidRPr="00862CFC" w14:paraId="01F477F1" w14:textId="77777777" w:rsidTr="005053AB">
        <w:tc>
          <w:tcPr>
            <w:tcW w:w="6498" w:type="dxa"/>
          </w:tcPr>
          <w:p w14:paraId="4E13977A" w14:textId="4ACCC1B6" w:rsidR="00397559" w:rsidRPr="00397559" w:rsidRDefault="005668D3" w:rsidP="00CF6CD4">
            <w:pPr>
              <w:pStyle w:val="Default"/>
            </w:pPr>
            <w:r w:rsidRPr="00B25B75">
              <w:t xml:space="preserve">C.- Aplica los conceptos </w:t>
            </w:r>
            <w:r w:rsidR="00CF6CD4">
              <w:t xml:space="preserve">y práctica de </w:t>
            </w:r>
            <w:r w:rsidR="0015638F">
              <w:t xml:space="preserve">los métodos de </w:t>
            </w:r>
            <w:r w:rsidR="00397559">
              <w:t>inventario</w:t>
            </w:r>
          </w:p>
        </w:tc>
        <w:tc>
          <w:tcPr>
            <w:tcW w:w="6498" w:type="dxa"/>
          </w:tcPr>
          <w:p w14:paraId="60A70194" w14:textId="2AB0A61A" w:rsidR="005668D3" w:rsidRPr="00862CFC" w:rsidRDefault="005668D3" w:rsidP="005668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E454075" w:rsidR="00206F1D" w:rsidRPr="00862CFC" w:rsidRDefault="00206F1D" w:rsidP="00C968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41C6C39C" w:rsidR="00206F1D" w:rsidRPr="00862CFC" w:rsidRDefault="00206F1D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014B224D" w:rsidR="000300FF" w:rsidRPr="00862CFC" w:rsidRDefault="000300FF" w:rsidP="00C968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3A6F834B" w:rsidR="000300FF" w:rsidRPr="00862CFC" w:rsidRDefault="000300FF" w:rsidP="00C968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206F1D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30CAB3D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505F55BD" w:rsidR="00055465" w:rsidRPr="00106009" w:rsidRDefault="00813282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y practicas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3E6BEAB8" w:rsidR="00055465" w:rsidRPr="00106009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4C287698" w:rsidR="00055465" w:rsidRPr="00106009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2D53996F" w:rsidR="00055465" w:rsidRPr="00106009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467F3B55" w:rsidR="00055465" w:rsidRPr="00106009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7671986B" w:rsidR="00055465" w:rsidRPr="00106009" w:rsidRDefault="00813282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y prácticas </w:t>
            </w:r>
            <w:r w:rsidR="00F53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guiadas/no guiadas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5512E9AE" w:rsidR="00055465" w:rsidRDefault="004E279C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546DE972" w:rsidR="00055465" w:rsidRPr="00862CFC" w:rsidRDefault="005668D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384A601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35F3834D" w:rsidR="00055465" w:rsidRPr="00862CFC" w:rsidRDefault="00813282" w:rsidP="00C93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1F5AD908" w:rsidR="00055465" w:rsidRPr="00862CFC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16BFF6EA" w:rsidR="00055465" w:rsidRPr="00862CFC" w:rsidRDefault="003F3C6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</w:tr>
      <w:tr w:rsidR="004E279C" w:rsidRPr="00862CFC" w14:paraId="4763E2FB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C941D" w14:textId="425F85A4" w:rsidR="004E279C" w:rsidRDefault="004E279C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Lista de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B0D61" w14:textId="7C2F791D" w:rsidR="004E279C" w:rsidRPr="00862CFC" w:rsidRDefault="0057166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D0AFF" w14:textId="475A953D" w:rsidR="004E279C" w:rsidRPr="00862CFC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B9A6C" w14:textId="376E9D4C" w:rsidR="004E279C" w:rsidRPr="00862CFC" w:rsidRDefault="004E279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00D81" w14:textId="77777777" w:rsidR="004E279C" w:rsidRPr="00862CFC" w:rsidRDefault="004E279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2F9C3" w14:textId="77777777" w:rsidR="004E279C" w:rsidRPr="00862CFC" w:rsidRDefault="004E279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476E5" w14:textId="77777777" w:rsidR="004E279C" w:rsidRPr="00862CFC" w:rsidRDefault="004E279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20CDB" w14:textId="4FB004E5" w:rsidR="004E279C" w:rsidRPr="00862CFC" w:rsidRDefault="000B6420" w:rsidP="000B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Asistencia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0528EB71" w:rsidR="00055465" w:rsidRPr="00106009" w:rsidRDefault="00034F4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7103BB8F" w:rsidR="00055465" w:rsidRPr="00106009" w:rsidRDefault="00034F49" w:rsidP="00C93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13D17F55" w:rsidR="00055465" w:rsidRPr="00106009" w:rsidRDefault="00034F4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7621F4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380D1818" w14:textId="77777777" w:rsidR="000B6420" w:rsidRPr="000B6420" w:rsidRDefault="000B6420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t xml:space="preserve">1. </w:t>
            </w:r>
            <w:proofErr w:type="spellStart"/>
            <w:r>
              <w:t>Hillier</w:t>
            </w:r>
            <w:proofErr w:type="spellEnd"/>
            <w:r>
              <w:t>, Frederick. (2010). Introducción a la investigación de operaciones. Mc Graw-Hill.</w:t>
            </w:r>
          </w:p>
          <w:p w14:paraId="7366DFE1" w14:textId="77777777" w:rsidR="000B6420" w:rsidRPr="000B6420" w:rsidRDefault="000B6420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t xml:space="preserve"> 2. Taha, </w:t>
            </w:r>
            <w:proofErr w:type="spellStart"/>
            <w:r>
              <w:t>Hamdy</w:t>
            </w:r>
            <w:proofErr w:type="spellEnd"/>
            <w:r>
              <w:t xml:space="preserve"> A. (2011). Investigación de operaciones. </w:t>
            </w:r>
          </w:p>
          <w:p w14:paraId="767B4795" w14:textId="69621906" w:rsidR="000B6420" w:rsidRPr="000B6420" w:rsidRDefault="000B6420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t xml:space="preserve">(9 Ed.). México: Pearson. </w:t>
            </w:r>
          </w:p>
          <w:p w14:paraId="61E4DF62" w14:textId="51F671DF" w:rsidR="000B6420" w:rsidRPr="000B6420" w:rsidRDefault="000B6420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t>3. Winston, Wayne L. (2004).</w:t>
            </w:r>
          </w:p>
          <w:p w14:paraId="0EDE9542" w14:textId="77777777" w:rsidR="000B6420" w:rsidRPr="000B6420" w:rsidRDefault="000B6420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lastRenderedPageBreak/>
              <w:t xml:space="preserve"> Investigación de operaciones aplicaciones y algoritmos. (4ª Ed.). México: Cengage </w:t>
            </w:r>
            <w:proofErr w:type="spellStart"/>
            <w:r>
              <w:t>Learning</w:t>
            </w:r>
            <w:proofErr w:type="spellEnd"/>
            <w:r>
              <w:t xml:space="preserve">. </w:t>
            </w:r>
          </w:p>
          <w:p w14:paraId="78EB6706" w14:textId="77777777" w:rsidR="000B6420" w:rsidRPr="000B6420" w:rsidRDefault="000B6420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t xml:space="preserve">4. </w:t>
            </w:r>
            <w:proofErr w:type="spellStart"/>
            <w:r>
              <w:t>Kamlesh</w:t>
            </w:r>
            <w:proofErr w:type="spellEnd"/>
            <w:r>
              <w:t xml:space="preserve"> </w:t>
            </w:r>
            <w:proofErr w:type="spellStart"/>
            <w:r>
              <w:t>Mathur</w:t>
            </w:r>
            <w:proofErr w:type="spellEnd"/>
            <w:r>
              <w:t xml:space="preserve">. Investigación de operaciones. Pearson. </w:t>
            </w:r>
          </w:p>
          <w:p w14:paraId="40FB7A86" w14:textId="0C10BB3A" w:rsidR="000B6420" w:rsidRPr="000B6420" w:rsidRDefault="000B6420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t xml:space="preserve">5. </w:t>
            </w:r>
            <w:proofErr w:type="spellStart"/>
            <w:r>
              <w:t>Rios</w:t>
            </w:r>
            <w:proofErr w:type="spellEnd"/>
            <w:r>
              <w:t xml:space="preserve"> Insua, Sixto, Mateos Caballero, A., Martin Jiménez, J. (2006) </w:t>
            </w:r>
          </w:p>
          <w:p w14:paraId="143F0D85" w14:textId="77777777" w:rsidR="000B6420" w:rsidRPr="000B6420" w:rsidRDefault="000B6420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t>Problemas de investigación operativa, Ra-MA.</w:t>
            </w:r>
          </w:p>
          <w:p w14:paraId="1EEB8E80" w14:textId="79DC51E7" w:rsidR="00E4330D" w:rsidRPr="000B6420" w:rsidRDefault="000B6420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t xml:space="preserve"> 6. </w:t>
            </w:r>
            <w:proofErr w:type="spellStart"/>
            <w:r>
              <w:t>Izunza</w:t>
            </w:r>
            <w:proofErr w:type="spellEnd"/>
            <w:r>
              <w:t>, V. (2012). Investigación de operaciones. N.Y, Estados unidos: Pearson Educación.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0975D7C2" w14:textId="7B85EF25" w:rsidR="007621F4" w:rsidRPr="00862CFC" w:rsidRDefault="007621F4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Pizarrón, computadora, pantalla, cuaderno, libros</w:t>
            </w:r>
            <w:r w:rsidR="00DA73F1">
              <w:rPr>
                <w:rFonts w:ascii="Arial" w:hAnsi="Arial" w:cs="Arial"/>
                <w:sz w:val="20"/>
                <w:szCs w:val="20"/>
              </w:rPr>
              <w:t xml:space="preserve"> de texto</w:t>
            </w: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A60880D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3"/>
        <w:gridCol w:w="819"/>
        <w:gridCol w:w="817"/>
        <w:gridCol w:w="719"/>
        <w:gridCol w:w="983"/>
        <w:gridCol w:w="686"/>
        <w:gridCol w:w="690"/>
        <w:gridCol w:w="939"/>
        <w:gridCol w:w="602"/>
        <w:gridCol w:w="975"/>
        <w:gridCol w:w="619"/>
        <w:gridCol w:w="544"/>
        <w:gridCol w:w="979"/>
        <w:gridCol w:w="544"/>
        <w:gridCol w:w="544"/>
        <w:gridCol w:w="544"/>
        <w:gridCol w:w="1029"/>
      </w:tblGrid>
      <w:tr w:rsidR="009A57DB" w:rsidRPr="00862CFC" w14:paraId="45E8AF6F" w14:textId="77777777" w:rsidTr="009A57DB">
        <w:tc>
          <w:tcPr>
            <w:tcW w:w="963" w:type="dxa"/>
          </w:tcPr>
          <w:p w14:paraId="545024D3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819" w:type="dxa"/>
          </w:tcPr>
          <w:p w14:paraId="21A1A52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17" w:type="dxa"/>
          </w:tcPr>
          <w:p w14:paraId="514944E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19" w:type="dxa"/>
          </w:tcPr>
          <w:p w14:paraId="02E4F7D6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3" w:type="dxa"/>
          </w:tcPr>
          <w:p w14:paraId="25047CC6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86" w:type="dxa"/>
          </w:tcPr>
          <w:p w14:paraId="38337BF8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90" w:type="dxa"/>
          </w:tcPr>
          <w:p w14:paraId="2A27A0E0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39" w:type="dxa"/>
          </w:tcPr>
          <w:p w14:paraId="4D538BAA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02" w:type="dxa"/>
          </w:tcPr>
          <w:p w14:paraId="1921CDE1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75" w:type="dxa"/>
          </w:tcPr>
          <w:p w14:paraId="40E3F167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19" w:type="dxa"/>
          </w:tcPr>
          <w:p w14:paraId="03B0CCE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44" w:type="dxa"/>
          </w:tcPr>
          <w:p w14:paraId="30B123D1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79" w:type="dxa"/>
          </w:tcPr>
          <w:p w14:paraId="16B7CC5D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44" w:type="dxa"/>
          </w:tcPr>
          <w:p w14:paraId="2427D18C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44" w:type="dxa"/>
          </w:tcPr>
          <w:p w14:paraId="269E9F7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44" w:type="dxa"/>
          </w:tcPr>
          <w:p w14:paraId="2E581CCD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29" w:type="dxa"/>
          </w:tcPr>
          <w:p w14:paraId="0555C163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9A57DB" w:rsidRPr="00862CFC" w14:paraId="4BC87C5E" w14:textId="77777777" w:rsidTr="009A57DB">
        <w:tc>
          <w:tcPr>
            <w:tcW w:w="963" w:type="dxa"/>
          </w:tcPr>
          <w:p w14:paraId="0A9EFF35" w14:textId="77777777" w:rsidR="009A57DB" w:rsidRPr="00862CFC" w:rsidRDefault="009A57DB" w:rsidP="009A57D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819" w:type="dxa"/>
          </w:tcPr>
          <w:p w14:paraId="10B14B7B" w14:textId="45F1A35B" w:rsidR="009A57DB" w:rsidRPr="00862CFC" w:rsidRDefault="009A57DB" w:rsidP="009A57D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 w:rsidRPr="0015638F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817" w:type="dxa"/>
          </w:tcPr>
          <w:p w14:paraId="7CA95C23" w14:textId="6214B877" w:rsidR="009A57DB" w:rsidRPr="00862CFC" w:rsidRDefault="009A57DB" w:rsidP="009A57D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 w:rsidRPr="0015638F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719" w:type="dxa"/>
          </w:tcPr>
          <w:p w14:paraId="08409C3C" w14:textId="4FF5A856" w:rsidR="009A57DB" w:rsidRPr="00862CFC" w:rsidRDefault="009A57DB" w:rsidP="009A57D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 w:rsidRPr="0015638F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83" w:type="dxa"/>
          </w:tcPr>
          <w:p w14:paraId="31B66478" w14:textId="0A16277F" w:rsidR="009A57DB" w:rsidRPr="00862CFC" w:rsidRDefault="009A57DB" w:rsidP="009A57D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proofErr w:type="gramStart"/>
            <w:r w:rsidRPr="0015638F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,ES</w:t>
            </w:r>
            <w:proofErr w:type="gramEnd"/>
            <w:r w:rsidRPr="0015638F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686" w:type="dxa"/>
          </w:tcPr>
          <w:p w14:paraId="3D390BB0" w14:textId="0EF5EC9C" w:rsidR="009A57DB" w:rsidRPr="00862CFC" w:rsidRDefault="009A57DB" w:rsidP="009A57D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 w:rsidRPr="0015638F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90" w:type="dxa"/>
          </w:tcPr>
          <w:p w14:paraId="50822C56" w14:textId="51A9B8B9" w:rsidR="009A57DB" w:rsidRPr="00862CFC" w:rsidRDefault="009A57DB" w:rsidP="009A57D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 w:rsidRPr="0015638F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939" w:type="dxa"/>
          </w:tcPr>
          <w:p w14:paraId="2CEBD16F" w14:textId="20D70987" w:rsidR="009A57DB" w:rsidRPr="00862CFC" w:rsidRDefault="009A57DB" w:rsidP="009A57DB">
            <w:pPr>
              <w:pStyle w:val="Sinespaciado"/>
              <w:ind w:left="708" w:hanging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proofErr w:type="gramStart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,ES</w:t>
            </w:r>
            <w:proofErr w:type="gramEnd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02" w:type="dxa"/>
          </w:tcPr>
          <w:p w14:paraId="6DCE6244" w14:textId="79745761" w:rsidR="009A57DB" w:rsidRPr="00862CFC" w:rsidRDefault="009A57DB" w:rsidP="009A57D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975" w:type="dxa"/>
          </w:tcPr>
          <w:p w14:paraId="219CCDD4" w14:textId="4B9BC348" w:rsidR="009A57DB" w:rsidRPr="00862CFC" w:rsidRDefault="009A57DB" w:rsidP="009A57D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proofErr w:type="gramStart"/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3  </w:t>
            </w:r>
            <w:r w:rsidRPr="00397559">
              <w:rPr>
                <w:rFonts w:ascii="Arial" w:hAnsi="Arial" w:cs="Arial"/>
                <w:sz w:val="20"/>
                <w:szCs w:val="20"/>
              </w:rPr>
              <w:t>E</w:t>
            </w:r>
            <w:r w:rsidRPr="00982360">
              <w:rPr>
                <w:rFonts w:ascii="Arial" w:hAnsi="Arial" w:cs="Arial"/>
                <w:sz w:val="20"/>
                <w:szCs w:val="20"/>
              </w:rPr>
              <w:t>S</w:t>
            </w:r>
            <w:proofErr w:type="gramEnd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619" w:type="dxa"/>
          </w:tcPr>
          <w:p w14:paraId="17911310" w14:textId="02D58720" w:rsidR="009A57DB" w:rsidRPr="00862CFC" w:rsidRDefault="009A57DB" w:rsidP="009A57D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4 </w:t>
            </w:r>
          </w:p>
        </w:tc>
        <w:tc>
          <w:tcPr>
            <w:tcW w:w="544" w:type="dxa"/>
          </w:tcPr>
          <w:p w14:paraId="33950682" w14:textId="786541F2" w:rsidR="009A57DB" w:rsidRPr="00862CFC" w:rsidRDefault="009A57DB" w:rsidP="009A57D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979" w:type="dxa"/>
          </w:tcPr>
          <w:p w14:paraId="77277DD1" w14:textId="30D4AA55" w:rsidR="009A57DB" w:rsidRPr="00862CFC" w:rsidRDefault="009A57DB" w:rsidP="009A57D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proofErr w:type="gramStart"/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3  </w:t>
            </w:r>
            <w:r w:rsidRPr="00397559">
              <w:rPr>
                <w:rFonts w:ascii="Arial" w:hAnsi="Arial" w:cs="Arial"/>
                <w:sz w:val="20"/>
                <w:szCs w:val="20"/>
              </w:rPr>
              <w:t>E</w:t>
            </w:r>
            <w:r w:rsidRPr="00982360">
              <w:rPr>
                <w:rFonts w:ascii="Arial" w:hAnsi="Arial" w:cs="Arial"/>
                <w:sz w:val="20"/>
                <w:szCs w:val="20"/>
              </w:rPr>
              <w:t>S</w:t>
            </w:r>
            <w:proofErr w:type="gramEnd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44" w:type="dxa"/>
          </w:tcPr>
          <w:p w14:paraId="4112BDE7" w14:textId="6BD0F88D" w:rsidR="009A57DB" w:rsidRPr="00862CFC" w:rsidRDefault="009A57DB" w:rsidP="009A57D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5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544" w:type="dxa"/>
          </w:tcPr>
          <w:p w14:paraId="070C0DE1" w14:textId="5C102F92" w:rsidR="009A57DB" w:rsidRPr="00862CFC" w:rsidRDefault="009A57DB" w:rsidP="009A57D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544" w:type="dxa"/>
          </w:tcPr>
          <w:p w14:paraId="747D24BC" w14:textId="375ED6AF" w:rsidR="009A57DB" w:rsidRPr="00862CFC" w:rsidRDefault="009A57DB" w:rsidP="009A57D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5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1029" w:type="dxa"/>
          </w:tcPr>
          <w:p w14:paraId="7FF742BE" w14:textId="481B3250" w:rsidR="009A57DB" w:rsidRPr="00862CFC" w:rsidRDefault="009A57DB" w:rsidP="009A57D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proofErr w:type="gramStart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5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 </w:t>
            </w:r>
            <w:r w:rsidRPr="00397559">
              <w:rPr>
                <w:rFonts w:ascii="Arial" w:hAnsi="Arial" w:cs="Arial"/>
                <w:sz w:val="20"/>
                <w:szCs w:val="20"/>
              </w:rPr>
              <w:t>E</w:t>
            </w:r>
            <w:r w:rsidRPr="00982360">
              <w:rPr>
                <w:rFonts w:ascii="Arial" w:hAnsi="Arial" w:cs="Arial"/>
                <w:sz w:val="20"/>
                <w:szCs w:val="20"/>
              </w:rPr>
              <w:t>S</w:t>
            </w:r>
            <w:proofErr w:type="gramEnd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5</w:t>
            </w:r>
          </w:p>
        </w:tc>
      </w:tr>
      <w:tr w:rsidR="009A57DB" w:rsidRPr="00862CFC" w14:paraId="7424FE36" w14:textId="77777777" w:rsidTr="009A57DB">
        <w:tc>
          <w:tcPr>
            <w:tcW w:w="963" w:type="dxa"/>
          </w:tcPr>
          <w:p w14:paraId="6557FA0A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819" w:type="dxa"/>
          </w:tcPr>
          <w:p w14:paraId="7B202DF1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" w:type="dxa"/>
          </w:tcPr>
          <w:p w14:paraId="1C8F6E5D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" w:type="dxa"/>
          </w:tcPr>
          <w:p w14:paraId="4589AA58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3" w:type="dxa"/>
          </w:tcPr>
          <w:p w14:paraId="4D58D386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</w:tcPr>
          <w:p w14:paraId="63B7A88C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</w:tcPr>
          <w:p w14:paraId="17CA0024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B743387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14:paraId="73E9A2B3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</w:tcPr>
          <w:p w14:paraId="65139301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" w:type="dxa"/>
          </w:tcPr>
          <w:p w14:paraId="3AFB6F72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</w:tcPr>
          <w:p w14:paraId="5AEF3956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14:paraId="267778AD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</w:tcPr>
          <w:p w14:paraId="505D55EB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</w:tcPr>
          <w:p w14:paraId="27B606BE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</w:tcPr>
          <w:p w14:paraId="0D2D6FDB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9" w:type="dxa"/>
          </w:tcPr>
          <w:p w14:paraId="2328ED51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7DB" w:rsidRPr="00862CFC" w14:paraId="2614FF03" w14:textId="77777777" w:rsidTr="009A57DB">
        <w:tc>
          <w:tcPr>
            <w:tcW w:w="963" w:type="dxa"/>
          </w:tcPr>
          <w:p w14:paraId="4A3949E3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819" w:type="dxa"/>
          </w:tcPr>
          <w:p w14:paraId="12D47571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" w:type="dxa"/>
          </w:tcPr>
          <w:p w14:paraId="7BAA19B5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" w:type="dxa"/>
          </w:tcPr>
          <w:p w14:paraId="47A934A8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3" w:type="dxa"/>
          </w:tcPr>
          <w:p w14:paraId="4155ED45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</w:tcPr>
          <w:p w14:paraId="187C3A8C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</w:tcPr>
          <w:p w14:paraId="70DED576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FB01072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14:paraId="1073B391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</w:tcPr>
          <w:p w14:paraId="41BC8676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" w:type="dxa"/>
          </w:tcPr>
          <w:p w14:paraId="787F2CF6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</w:tcPr>
          <w:p w14:paraId="41ECE03D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</w:tcPr>
          <w:p w14:paraId="37635C34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</w:tcPr>
          <w:p w14:paraId="79D4FAC6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</w:tcPr>
          <w:p w14:paraId="7AA56D7F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</w:tcPr>
          <w:p w14:paraId="37668CCF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9" w:type="dxa"/>
          </w:tcPr>
          <w:p w14:paraId="7434BBC9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87ECA3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0F8DD4D4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  <w:sectPr w:rsidR="00CD0069" w:rsidRPr="00862CFC" w:rsidSect="00CD0069">
          <w:footerReference w:type="default" r:id="rId7"/>
          <w:type w:val="continuous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4F2A718D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2A531254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4FF2EDC4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35985C75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311FCFB1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2C6F9550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4FBFFA00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12E6A6F9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  <w:sectPr w:rsidR="00CD0069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35A0512F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625750CA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CD0069" w:rsidRPr="00862CFC" w14:paraId="4445F221" w14:textId="77777777" w:rsidTr="00224DE7">
        <w:trPr>
          <w:jc w:val="right"/>
        </w:trPr>
        <w:tc>
          <w:tcPr>
            <w:tcW w:w="2229" w:type="dxa"/>
          </w:tcPr>
          <w:p w14:paraId="4AC3319F" w14:textId="77777777" w:rsidR="00CD0069" w:rsidRPr="00862CFC" w:rsidRDefault="00CD0069" w:rsidP="00CD0069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3D536B3E" w14:textId="77777777" w:rsidR="00CD0069" w:rsidRPr="00862CFC" w:rsidRDefault="00CD0069" w:rsidP="00CD0069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66B634" w14:textId="77777777" w:rsidR="00CD0069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6168B70A" w14:textId="77777777" w:rsidR="00CD0069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0942E5C9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CD0069" w:rsidRPr="00862CFC" w14:paraId="3222CAB9" w14:textId="77777777" w:rsidTr="00224DE7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6675F9C1" w14:textId="553CB287" w:rsidR="00CD0069" w:rsidRPr="00862CFC" w:rsidRDefault="00FF2846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DORA LILIA GUADIANA MEDINA</w:t>
            </w:r>
            <w:r w:rsidR="00CD00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14:paraId="56FB419F" w14:textId="77777777" w:rsidR="00CD0069" w:rsidRPr="00862CFC" w:rsidRDefault="00CD0069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001148CF" w14:textId="26ABE66E" w:rsidR="00CD0069" w:rsidRPr="00CD0069" w:rsidRDefault="00FF2846" w:rsidP="00CD006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ntique Olive" w:hAnsi="Antique Olive"/>
                <w:lang w:val="es-ES_tradnl"/>
              </w:rPr>
              <w:t xml:space="preserve">             </w:t>
            </w:r>
            <w:r w:rsidR="0081394A">
              <w:rPr>
                <w:rFonts w:ascii="Antique Olive" w:hAnsi="Antique Olive"/>
                <w:lang w:val="es-ES_tradnl"/>
              </w:rPr>
              <w:t>M.C. ADRIÁN ALBERTO TREVIÑO BECERRA</w:t>
            </w:r>
          </w:p>
        </w:tc>
      </w:tr>
      <w:tr w:rsidR="00CD0069" w:rsidRPr="00862CFC" w14:paraId="0B51DFAA" w14:textId="77777777" w:rsidTr="00224DE7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7BC7E469" w14:textId="77777777" w:rsidR="00CD0069" w:rsidRPr="00862CFC" w:rsidRDefault="00CD0069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3E928961" w14:textId="77777777" w:rsidR="00CD0069" w:rsidRPr="00862CFC" w:rsidRDefault="00CD0069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16AD242F" w14:textId="77777777" w:rsidR="00CD0069" w:rsidRPr="00862CFC" w:rsidRDefault="00CD0069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7E0DD833" w14:textId="7315BF64" w:rsidR="000626FF" w:rsidRDefault="00CD0069" w:rsidP="0005519C">
      <w:pPr>
        <w:ind w:left="360"/>
        <w:rPr>
          <w:rFonts w:ascii="Arial" w:hAnsi="Arial" w:cs="Arial"/>
          <w:sz w:val="20"/>
          <w:szCs w:val="20"/>
        </w:rPr>
        <w:sectPr w:rsidR="000626FF" w:rsidSect="00862CFC">
          <w:footerReference w:type="default" r:id="rId8"/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  <w:r w:rsidRPr="00CD0069">
        <w:rPr>
          <w:rFonts w:ascii="Arial" w:hAnsi="Arial" w:cs="Arial"/>
          <w:sz w:val="20"/>
          <w:szCs w:val="20"/>
        </w:rPr>
        <w:br w:type="page"/>
      </w:r>
    </w:p>
    <w:p w14:paraId="546C5934" w14:textId="7B24AA48" w:rsidR="007A22EC" w:rsidRDefault="007A22EC" w:rsidP="0005519C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4F13EB">
      <w:headerReference w:type="default" r:id="rId9"/>
      <w:pgSz w:w="15840" w:h="12240" w:orient="landscape"/>
      <w:pgMar w:top="1701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C54EF" w14:textId="77777777" w:rsidR="00790B9C" w:rsidRDefault="00790B9C" w:rsidP="00862CFC">
      <w:pPr>
        <w:spacing w:after="0" w:line="240" w:lineRule="auto"/>
      </w:pPr>
      <w:r>
        <w:separator/>
      </w:r>
    </w:p>
  </w:endnote>
  <w:endnote w:type="continuationSeparator" w:id="0">
    <w:p w14:paraId="07C8BE42" w14:textId="77777777" w:rsidR="00790B9C" w:rsidRDefault="00790B9C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tique Olive">
    <w:altName w:val="Trebuchet MS"/>
    <w:charset w:val="00"/>
    <w:family w:val="swiss"/>
    <w:pitch w:val="variable"/>
    <w:sig w:usb0="00000005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3830C" w14:textId="77777777" w:rsidR="00CD0069" w:rsidRPr="00862CFC" w:rsidRDefault="00CD0069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CA219" w14:textId="2B9517B4" w:rsidR="00862CFC" w:rsidRPr="00862CFC" w:rsidRDefault="00862CFC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C83607"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FABD20" w14:textId="77777777" w:rsidR="00790B9C" w:rsidRDefault="00790B9C" w:rsidP="00862CFC">
      <w:pPr>
        <w:spacing w:after="0" w:line="240" w:lineRule="auto"/>
      </w:pPr>
      <w:r>
        <w:separator/>
      </w:r>
    </w:p>
  </w:footnote>
  <w:footnote w:type="continuationSeparator" w:id="0">
    <w:p w14:paraId="379BD462" w14:textId="77777777" w:rsidR="00790B9C" w:rsidRDefault="00790B9C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2149F" w14:textId="387FD8C0" w:rsidR="000626FF" w:rsidRPr="00C37EA8" w:rsidRDefault="000626FF" w:rsidP="00C37EA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E5A92"/>
    <w:multiLevelType w:val="hybridMultilevel"/>
    <w:tmpl w:val="9F5635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E48CB"/>
    <w:multiLevelType w:val="hybridMultilevel"/>
    <w:tmpl w:val="F9DC070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B7434"/>
    <w:multiLevelType w:val="hybridMultilevel"/>
    <w:tmpl w:val="7ADA8C9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5"/>
  </w:num>
  <w:num w:numId="4">
    <w:abstractNumId w:val="9"/>
  </w:num>
  <w:num w:numId="5">
    <w:abstractNumId w:val="7"/>
  </w:num>
  <w:num w:numId="6">
    <w:abstractNumId w:val="8"/>
  </w:num>
  <w:num w:numId="7">
    <w:abstractNumId w:val="5"/>
  </w:num>
  <w:num w:numId="8">
    <w:abstractNumId w:val="12"/>
  </w:num>
  <w:num w:numId="9">
    <w:abstractNumId w:val="2"/>
  </w:num>
  <w:num w:numId="10">
    <w:abstractNumId w:val="10"/>
  </w:num>
  <w:num w:numId="11">
    <w:abstractNumId w:val="13"/>
  </w:num>
  <w:num w:numId="12">
    <w:abstractNumId w:val="4"/>
  </w:num>
  <w:num w:numId="13">
    <w:abstractNumId w:val="0"/>
  </w:num>
  <w:num w:numId="14">
    <w:abstractNumId w:val="1"/>
  </w:num>
  <w:num w:numId="15">
    <w:abstractNumId w:val="1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04059"/>
    <w:rsid w:val="00015F7E"/>
    <w:rsid w:val="000300FF"/>
    <w:rsid w:val="00031DD0"/>
    <w:rsid w:val="00034F49"/>
    <w:rsid w:val="0005519C"/>
    <w:rsid w:val="00055465"/>
    <w:rsid w:val="000626FF"/>
    <w:rsid w:val="000631FB"/>
    <w:rsid w:val="000B6420"/>
    <w:rsid w:val="000B7A39"/>
    <w:rsid w:val="000C5530"/>
    <w:rsid w:val="00106009"/>
    <w:rsid w:val="00117045"/>
    <w:rsid w:val="001207CA"/>
    <w:rsid w:val="001239EA"/>
    <w:rsid w:val="00146181"/>
    <w:rsid w:val="00152B6F"/>
    <w:rsid w:val="0015638F"/>
    <w:rsid w:val="00160D9F"/>
    <w:rsid w:val="00162DEB"/>
    <w:rsid w:val="001D7549"/>
    <w:rsid w:val="001D791D"/>
    <w:rsid w:val="001E0B72"/>
    <w:rsid w:val="002018F7"/>
    <w:rsid w:val="00206F1D"/>
    <w:rsid w:val="00233468"/>
    <w:rsid w:val="00293FBE"/>
    <w:rsid w:val="002A093C"/>
    <w:rsid w:val="002A3E8A"/>
    <w:rsid w:val="002B156C"/>
    <w:rsid w:val="00305994"/>
    <w:rsid w:val="003576C5"/>
    <w:rsid w:val="00373659"/>
    <w:rsid w:val="00397559"/>
    <w:rsid w:val="003F3C63"/>
    <w:rsid w:val="00421752"/>
    <w:rsid w:val="00473E58"/>
    <w:rsid w:val="004815D8"/>
    <w:rsid w:val="004E279C"/>
    <w:rsid w:val="004F065B"/>
    <w:rsid w:val="004F13EB"/>
    <w:rsid w:val="00500872"/>
    <w:rsid w:val="005053AB"/>
    <w:rsid w:val="005223A7"/>
    <w:rsid w:val="00536B92"/>
    <w:rsid w:val="00551208"/>
    <w:rsid w:val="005624BE"/>
    <w:rsid w:val="005668D3"/>
    <w:rsid w:val="0057053B"/>
    <w:rsid w:val="00571662"/>
    <w:rsid w:val="00577B7D"/>
    <w:rsid w:val="0058324D"/>
    <w:rsid w:val="00593663"/>
    <w:rsid w:val="005A1BE5"/>
    <w:rsid w:val="00602A43"/>
    <w:rsid w:val="006215AC"/>
    <w:rsid w:val="00633F0B"/>
    <w:rsid w:val="006C2218"/>
    <w:rsid w:val="006E161C"/>
    <w:rsid w:val="00736E2C"/>
    <w:rsid w:val="00744965"/>
    <w:rsid w:val="007541FF"/>
    <w:rsid w:val="00761640"/>
    <w:rsid w:val="007621F4"/>
    <w:rsid w:val="00774847"/>
    <w:rsid w:val="00790B9C"/>
    <w:rsid w:val="007A22EC"/>
    <w:rsid w:val="00813282"/>
    <w:rsid w:val="0081394A"/>
    <w:rsid w:val="00816933"/>
    <w:rsid w:val="00824F18"/>
    <w:rsid w:val="008558C8"/>
    <w:rsid w:val="00862CFC"/>
    <w:rsid w:val="00865C4A"/>
    <w:rsid w:val="008B4443"/>
    <w:rsid w:val="008C7776"/>
    <w:rsid w:val="0090592C"/>
    <w:rsid w:val="00923F68"/>
    <w:rsid w:val="00943079"/>
    <w:rsid w:val="00982360"/>
    <w:rsid w:val="009905D5"/>
    <w:rsid w:val="00992C3B"/>
    <w:rsid w:val="009A57DB"/>
    <w:rsid w:val="00A24921"/>
    <w:rsid w:val="00A37058"/>
    <w:rsid w:val="00A55EE3"/>
    <w:rsid w:val="00A83654"/>
    <w:rsid w:val="00AE14E7"/>
    <w:rsid w:val="00B23CAE"/>
    <w:rsid w:val="00B31A95"/>
    <w:rsid w:val="00B6669A"/>
    <w:rsid w:val="00BA5082"/>
    <w:rsid w:val="00BB4B7F"/>
    <w:rsid w:val="00BD38C9"/>
    <w:rsid w:val="00BE51AA"/>
    <w:rsid w:val="00BE7924"/>
    <w:rsid w:val="00C127DC"/>
    <w:rsid w:val="00C2069A"/>
    <w:rsid w:val="00C37EA8"/>
    <w:rsid w:val="00C83607"/>
    <w:rsid w:val="00C9306F"/>
    <w:rsid w:val="00C9685C"/>
    <w:rsid w:val="00CA3ECB"/>
    <w:rsid w:val="00CA7920"/>
    <w:rsid w:val="00CC5D82"/>
    <w:rsid w:val="00CD0069"/>
    <w:rsid w:val="00CF6CD4"/>
    <w:rsid w:val="00D2543E"/>
    <w:rsid w:val="00D92AE1"/>
    <w:rsid w:val="00DA73F1"/>
    <w:rsid w:val="00DC46A5"/>
    <w:rsid w:val="00DD7D08"/>
    <w:rsid w:val="00DE26A7"/>
    <w:rsid w:val="00E27FE9"/>
    <w:rsid w:val="00E4330D"/>
    <w:rsid w:val="00E6331D"/>
    <w:rsid w:val="00EC1771"/>
    <w:rsid w:val="00EE3DC4"/>
    <w:rsid w:val="00EE7388"/>
    <w:rsid w:val="00EE73B3"/>
    <w:rsid w:val="00F45EE6"/>
    <w:rsid w:val="00F53831"/>
    <w:rsid w:val="00FF2846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034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Rubén Trejo Lozano</dc:creator>
  <cp:lastModifiedBy>DORYS</cp:lastModifiedBy>
  <cp:revision>5</cp:revision>
  <cp:lastPrinted>2016-01-11T15:55:00Z</cp:lastPrinted>
  <dcterms:created xsi:type="dcterms:W3CDTF">2017-10-12T21:28:00Z</dcterms:created>
  <dcterms:modified xsi:type="dcterms:W3CDTF">2017-10-12T21:32:00Z</dcterms:modified>
</cp:coreProperties>
</file>